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F1" w:rsidRDefault="00EB04F7" w:rsidP="00272AF1">
      <w:bookmarkStart w:id="0" w:name="_GoBack"/>
      <w:bookmarkEnd w:id="0"/>
      <w:r>
        <w:t>Q1)</w:t>
      </w:r>
    </w:p>
    <w:p w:rsidR="00EB04F7" w:rsidRDefault="00EB04F7" w:rsidP="00EB04F7">
      <w:pPr>
        <w:pStyle w:val="a3"/>
        <w:numPr>
          <w:ilvl w:val="0"/>
          <w:numId w:val="2"/>
        </w:numPr>
        <w:ind w:leftChars="0"/>
      </w:pPr>
      <w:r>
        <w:t xml:space="preserve">Fluid level in the Lt </w:t>
      </w:r>
      <w:proofErr w:type="gramStart"/>
      <w:r>
        <w:t>frontal</w:t>
      </w:r>
      <w:proofErr w:type="gramEnd"/>
      <w:r>
        <w:t xml:space="preserve"> sinus.</w:t>
      </w:r>
    </w:p>
    <w:p w:rsidR="00EB04F7" w:rsidRDefault="00EB04F7" w:rsidP="00EB04F7">
      <w:pPr>
        <w:pStyle w:val="a3"/>
        <w:numPr>
          <w:ilvl w:val="0"/>
          <w:numId w:val="2"/>
        </w:numPr>
        <w:ind w:leftChars="0"/>
      </w:pPr>
      <w:r>
        <w:t xml:space="preserve">Water’s view (also called </w:t>
      </w:r>
      <w:proofErr w:type="spellStart"/>
      <w:r>
        <w:t>occipitomental</w:t>
      </w:r>
      <w:proofErr w:type="spellEnd"/>
      <w:r>
        <w:t xml:space="preserve"> view)</w:t>
      </w:r>
    </w:p>
    <w:p w:rsidR="00EB04F7" w:rsidRDefault="00EB04F7" w:rsidP="00EB04F7">
      <w:pPr>
        <w:pStyle w:val="a3"/>
        <w:numPr>
          <w:ilvl w:val="0"/>
          <w:numId w:val="2"/>
        </w:numPr>
        <w:ind w:leftChars="0"/>
      </w:pPr>
      <w:r>
        <w:t xml:space="preserve">The maxillary sinuses are clear. There is fluid level in the Lt </w:t>
      </w:r>
      <w:proofErr w:type="gramStart"/>
      <w:r>
        <w:t>frontal</w:t>
      </w:r>
      <w:proofErr w:type="gramEnd"/>
      <w:r>
        <w:t xml:space="preserve"> sinus.</w:t>
      </w:r>
    </w:p>
    <w:p w:rsidR="00EB04F7" w:rsidRDefault="00EB04F7" w:rsidP="00EB04F7">
      <w:pPr>
        <w:pStyle w:val="a3"/>
        <w:numPr>
          <w:ilvl w:val="0"/>
          <w:numId w:val="2"/>
        </w:numPr>
        <w:ind w:leftChars="0"/>
      </w:pPr>
      <w:r>
        <w:t>1) Lt frontal headache; 2) stuffy Lt nostril; 3) Nasal discharge from Lt nostril; 4) Low-grade fever; 5) Post-nasal dribbling; 6) loss of smell</w:t>
      </w:r>
    </w:p>
    <w:p w:rsidR="00143C72" w:rsidRDefault="00143C72" w:rsidP="00143C72"/>
    <w:p w:rsidR="00143C72" w:rsidRDefault="00143C72" w:rsidP="00143C72">
      <w:r>
        <w:t>Q2)</w:t>
      </w:r>
    </w:p>
    <w:p w:rsidR="00143C72" w:rsidRDefault="00143C72" w:rsidP="00143C72">
      <w:pPr>
        <w:pStyle w:val="a3"/>
        <w:numPr>
          <w:ilvl w:val="0"/>
          <w:numId w:val="4"/>
        </w:numPr>
        <w:ind w:leftChars="0"/>
      </w:pPr>
      <w:r>
        <w:t xml:space="preserve">Bilateral subdural hemorrhage. The 2 sides are of different ages. The right is relatively </w:t>
      </w:r>
      <w:proofErr w:type="spellStart"/>
      <w:r>
        <w:t>hyperdense</w:t>
      </w:r>
      <w:proofErr w:type="spellEnd"/>
      <w:r>
        <w:t xml:space="preserve"> and is of more recent onset. Compression of the anterior and posterior horns of lateral ventricles and third ventricle on the L</w:t>
      </w:r>
      <w:r w:rsidR="00BC3921">
        <w:t xml:space="preserve">t </w:t>
      </w:r>
      <w:proofErr w:type="gramStart"/>
      <w:r w:rsidR="00BC3921">
        <w:t>side</w:t>
      </w:r>
      <w:proofErr w:type="gramEnd"/>
      <w:r w:rsidR="00BC3921">
        <w:t xml:space="preserve"> suggesting a rise in ICP</w:t>
      </w:r>
      <w:r w:rsidR="00BC3921">
        <w:rPr>
          <w:rFonts w:hint="eastAsia"/>
        </w:rPr>
        <w:t xml:space="preserve"> +/- acute-on-chronic hemorrhage.</w:t>
      </w:r>
    </w:p>
    <w:p w:rsidR="006B7EA8" w:rsidRDefault="006B7EA8" w:rsidP="006B7EA8">
      <w:pPr>
        <w:pStyle w:val="a3"/>
        <w:numPr>
          <w:ilvl w:val="0"/>
          <w:numId w:val="4"/>
        </w:numPr>
        <w:ind w:leftChars="0"/>
      </w:pPr>
    </w:p>
    <w:p w:rsidR="006B7EA8" w:rsidRDefault="00AE5112" w:rsidP="006B7EA8">
      <w:pPr>
        <w:pStyle w:val="a3"/>
        <w:numPr>
          <w:ilvl w:val="0"/>
          <w:numId w:val="6"/>
        </w:numPr>
        <w:ind w:leftChars="0"/>
      </w:pPr>
      <w:r>
        <w:t xml:space="preserve">Confusion / </w:t>
      </w:r>
      <w:r w:rsidR="006B7EA8">
        <w:t xml:space="preserve">Decreased level of consciousness </w:t>
      </w:r>
    </w:p>
    <w:p w:rsidR="006B7EA8" w:rsidRDefault="006B7EA8" w:rsidP="006B7EA8">
      <w:pPr>
        <w:pStyle w:val="a3"/>
        <w:numPr>
          <w:ilvl w:val="0"/>
          <w:numId w:val="6"/>
        </w:numPr>
        <w:ind w:leftChars="0"/>
      </w:pPr>
      <w:r>
        <w:t>Headache</w:t>
      </w:r>
    </w:p>
    <w:p w:rsidR="006B7EA8" w:rsidRDefault="00AE5112" w:rsidP="006B7EA8">
      <w:pPr>
        <w:pStyle w:val="a3"/>
        <w:numPr>
          <w:ilvl w:val="0"/>
          <w:numId w:val="6"/>
        </w:numPr>
        <w:ind w:leftChars="0"/>
      </w:pPr>
      <w:r>
        <w:t xml:space="preserve">Fall </w:t>
      </w:r>
      <w:r w:rsidR="00BC3921">
        <w:rPr>
          <w:rFonts w:hint="eastAsia"/>
        </w:rPr>
        <w:t>/</w:t>
      </w:r>
      <w:r>
        <w:t xml:space="preserve"> </w:t>
      </w:r>
      <w:r w:rsidR="006B7EA8">
        <w:t>Difficulty with gait or balance</w:t>
      </w:r>
    </w:p>
    <w:p w:rsidR="006B7EA8" w:rsidRDefault="00AE5112" w:rsidP="006B7EA8">
      <w:pPr>
        <w:pStyle w:val="a3"/>
        <w:numPr>
          <w:ilvl w:val="0"/>
          <w:numId w:val="6"/>
        </w:numPr>
        <w:ind w:leftChars="0"/>
      </w:pPr>
      <w:r>
        <w:t xml:space="preserve">Poor memory / </w:t>
      </w:r>
      <w:r w:rsidR="006B7EA8">
        <w:t>Cognitive dysfunction or memory loss</w:t>
      </w:r>
    </w:p>
    <w:p w:rsidR="006B7EA8" w:rsidRDefault="006B7EA8" w:rsidP="006B7EA8">
      <w:pPr>
        <w:pStyle w:val="a3"/>
        <w:numPr>
          <w:ilvl w:val="0"/>
          <w:numId w:val="6"/>
        </w:numPr>
        <w:ind w:leftChars="0"/>
      </w:pPr>
      <w:r>
        <w:t>Personality change</w:t>
      </w:r>
    </w:p>
    <w:p w:rsidR="006B7EA8" w:rsidRDefault="00AE5112" w:rsidP="006B7EA8">
      <w:pPr>
        <w:pStyle w:val="a3"/>
        <w:numPr>
          <w:ilvl w:val="0"/>
          <w:numId w:val="6"/>
        </w:numPr>
        <w:ind w:leftChars="0"/>
      </w:pPr>
      <w:r>
        <w:t xml:space="preserve">Weakness / </w:t>
      </w:r>
      <w:r w:rsidR="006B7EA8">
        <w:t>Motor deficit (</w:t>
      </w:r>
      <w:proofErr w:type="spellStart"/>
      <w:r w:rsidR="006B7EA8">
        <w:t>eg</w:t>
      </w:r>
      <w:proofErr w:type="spellEnd"/>
      <w:r w:rsidR="006B7EA8">
        <w:t>, hemiparesis)</w:t>
      </w:r>
    </w:p>
    <w:p w:rsidR="006B7EA8" w:rsidRDefault="00AE5112" w:rsidP="006B7EA8">
      <w:pPr>
        <w:pStyle w:val="a3"/>
        <w:numPr>
          <w:ilvl w:val="0"/>
          <w:numId w:val="6"/>
        </w:numPr>
        <w:ind w:leftChars="0"/>
      </w:pPr>
      <w:r>
        <w:t>Speech difficulty / Dys</w:t>
      </w:r>
      <w:r w:rsidR="006B7EA8">
        <w:t>phasia</w:t>
      </w:r>
    </w:p>
    <w:p w:rsidR="00AE5112" w:rsidRDefault="00AE5112" w:rsidP="006B7EA8">
      <w:pPr>
        <w:pStyle w:val="a3"/>
        <w:numPr>
          <w:ilvl w:val="0"/>
          <w:numId w:val="6"/>
        </w:numPr>
        <w:ind w:leftChars="0"/>
      </w:pPr>
      <w:r>
        <w:t>Vomiting</w:t>
      </w:r>
    </w:p>
    <w:p w:rsidR="00AE5112" w:rsidRDefault="00AE5112" w:rsidP="00AE5112">
      <w:pPr>
        <w:pStyle w:val="a3"/>
        <w:numPr>
          <w:ilvl w:val="0"/>
          <w:numId w:val="4"/>
        </w:numPr>
        <w:ind w:leftChars="0"/>
      </w:pPr>
      <w:r>
        <w:t xml:space="preserve">Thrombocytopenia, </w:t>
      </w:r>
      <w:proofErr w:type="spellStart"/>
      <w:r>
        <w:t>thrombocytopathy</w:t>
      </w:r>
      <w:proofErr w:type="spellEnd"/>
      <w:r>
        <w:t>, diminished fibrinolysis</w:t>
      </w:r>
    </w:p>
    <w:p w:rsidR="00957D60" w:rsidRDefault="00957D60" w:rsidP="00AE5112">
      <w:pPr>
        <w:pStyle w:val="a3"/>
        <w:numPr>
          <w:ilvl w:val="0"/>
          <w:numId w:val="4"/>
        </w:numPr>
        <w:ind w:leftChars="0"/>
      </w:pPr>
      <w:proofErr w:type="spellStart"/>
      <w:r>
        <w:t>Mannitol</w:t>
      </w:r>
      <w:proofErr w:type="spellEnd"/>
      <w:r>
        <w:t xml:space="preserve"> 1g/kg rapidly by iv push</w:t>
      </w:r>
    </w:p>
    <w:p w:rsidR="00962DD8" w:rsidRDefault="00962DD8" w:rsidP="00962DD8"/>
    <w:p w:rsidR="00962DD8" w:rsidRDefault="00962DD8" w:rsidP="00962DD8">
      <w:r>
        <w:t>Q3)</w:t>
      </w:r>
    </w:p>
    <w:p w:rsidR="00BC3921" w:rsidRDefault="00BC3921" w:rsidP="00962DD8">
      <w:r>
        <w:rPr>
          <w:noProof/>
        </w:rPr>
        <w:lastRenderedPageBreak/>
        <w:drawing>
          <wp:inline distT="0" distB="0" distL="0" distR="0" wp14:anchorId="0E9601C8" wp14:editId="2BCF102D">
            <wp:extent cx="4958519" cy="7700091"/>
            <wp:effectExtent l="19050" t="0" r="0" b="0"/>
            <wp:docPr id="9" name="Picture 9" descr="C:\Users\admin\Google 雲端硬碟\OSCE200401\Case3\#calcaneu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Google 雲端硬碟\OSCE200401\Case3\#calcaneum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2" cy="770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21" w:rsidRDefault="00BC3921" w:rsidP="00962DD8">
      <w:r w:rsidRPr="00AD1357">
        <w:rPr>
          <w:noProof/>
        </w:rPr>
        <w:lastRenderedPageBreak/>
        <w:drawing>
          <wp:inline distT="0" distB="0" distL="0" distR="0" wp14:anchorId="7A4D0EF6" wp14:editId="7943FE5B">
            <wp:extent cx="4308665" cy="4341412"/>
            <wp:effectExtent l="19050" t="0" r="0" b="0"/>
            <wp:docPr id="12" name="Picture 11" descr="C:\Users\admin\Google 雲端硬碟\OSCE200401\Case3\#calcaneu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Google 雲端硬碟\OSCE200401\Case3\#calcaneum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42" cy="434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D8" w:rsidRDefault="00962DD8" w:rsidP="00962DD8">
      <w:pPr>
        <w:pStyle w:val="a3"/>
        <w:numPr>
          <w:ilvl w:val="0"/>
          <w:numId w:val="9"/>
        </w:numPr>
        <w:ind w:leftChars="0"/>
      </w:pPr>
      <w:r>
        <w:t xml:space="preserve">This is the lateral view of the </w:t>
      </w:r>
      <w:proofErr w:type="spellStart"/>
      <w:proofErr w:type="gramStart"/>
      <w:r>
        <w:t>Rt</w:t>
      </w:r>
      <w:proofErr w:type="spellEnd"/>
      <w:proofErr w:type="gramEnd"/>
      <w:r>
        <w:t xml:space="preserve"> ankle. It shows a diminished </w:t>
      </w:r>
      <w:proofErr w:type="spellStart"/>
      <w:r>
        <w:t>Bholer’s</w:t>
      </w:r>
      <w:proofErr w:type="spellEnd"/>
      <w:r>
        <w:t xml:space="preserve"> angle.</w:t>
      </w:r>
    </w:p>
    <w:p w:rsidR="00962DD8" w:rsidRDefault="00962DD8" w:rsidP="00962DD8">
      <w:pPr>
        <w:pStyle w:val="a3"/>
        <w:numPr>
          <w:ilvl w:val="0"/>
          <w:numId w:val="9"/>
        </w:numPr>
        <w:ind w:leftChars="0"/>
      </w:pPr>
      <w:r>
        <w:t xml:space="preserve">Possibly # of the right </w:t>
      </w:r>
      <w:proofErr w:type="spellStart"/>
      <w:r>
        <w:t>calcaneum</w:t>
      </w:r>
      <w:proofErr w:type="spellEnd"/>
      <w:r>
        <w:t>.</w:t>
      </w:r>
    </w:p>
    <w:p w:rsidR="00962DD8" w:rsidRDefault="00962DD8" w:rsidP="00962DD8">
      <w:pPr>
        <w:pStyle w:val="a3"/>
        <w:numPr>
          <w:ilvl w:val="0"/>
          <w:numId w:val="9"/>
        </w:numPr>
        <w:ind w:leftChars="0"/>
      </w:pPr>
      <w:r>
        <w:t xml:space="preserve">Order an x-ray of the </w:t>
      </w:r>
      <w:proofErr w:type="spellStart"/>
      <w:proofErr w:type="gramStart"/>
      <w:r>
        <w:t>Rt</w:t>
      </w:r>
      <w:proofErr w:type="spellEnd"/>
      <w:proofErr w:type="gramEnd"/>
      <w:r>
        <w:t xml:space="preserve"> </w:t>
      </w:r>
      <w:proofErr w:type="spellStart"/>
      <w:r>
        <w:t>calcaneum</w:t>
      </w:r>
      <w:proofErr w:type="spellEnd"/>
      <w:r>
        <w:t>.</w:t>
      </w:r>
      <w:r w:rsidR="00BC3921">
        <w:rPr>
          <w:rFonts w:hint="eastAsia"/>
        </w:rPr>
        <w:t xml:space="preserve"> CT </w:t>
      </w:r>
      <w:proofErr w:type="gramStart"/>
      <w:r w:rsidR="00BC3921">
        <w:rPr>
          <w:rFonts w:hint="eastAsia"/>
        </w:rPr>
        <w:t>scan</w:t>
      </w:r>
      <w:proofErr w:type="gramEnd"/>
      <w:r w:rsidR="00BC3921">
        <w:rPr>
          <w:rFonts w:hint="eastAsia"/>
        </w:rPr>
        <w:t xml:space="preserve"> </w:t>
      </w:r>
      <w:proofErr w:type="spellStart"/>
      <w:r w:rsidR="00BC3921">
        <w:rPr>
          <w:rFonts w:hint="eastAsia"/>
        </w:rPr>
        <w:t>Rt</w:t>
      </w:r>
      <w:proofErr w:type="spellEnd"/>
      <w:r w:rsidR="00BC3921">
        <w:rPr>
          <w:rFonts w:hint="eastAsia"/>
        </w:rPr>
        <w:t xml:space="preserve"> </w:t>
      </w:r>
      <w:proofErr w:type="spellStart"/>
      <w:r w:rsidR="00BC3921">
        <w:rPr>
          <w:rFonts w:hint="eastAsia"/>
        </w:rPr>
        <w:t>calcaneum</w:t>
      </w:r>
      <w:proofErr w:type="spellEnd"/>
      <w:r w:rsidR="00BC3921">
        <w:rPr>
          <w:rFonts w:hint="eastAsia"/>
        </w:rPr>
        <w:t xml:space="preserve"> if available.</w:t>
      </w:r>
    </w:p>
    <w:p w:rsidR="00962DD8" w:rsidRDefault="00BC3921" w:rsidP="00962DD8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 xml:space="preserve">Fact: </w:t>
      </w:r>
      <w:r w:rsidR="00962DD8">
        <w:t xml:space="preserve"># of </w:t>
      </w:r>
      <w:proofErr w:type="spellStart"/>
      <w:proofErr w:type="gramStart"/>
      <w:r w:rsidR="00962DD8">
        <w:t>Rt</w:t>
      </w:r>
      <w:proofErr w:type="spellEnd"/>
      <w:proofErr w:type="gramEnd"/>
      <w:r w:rsidR="00962DD8">
        <w:t xml:space="preserve"> </w:t>
      </w:r>
      <w:proofErr w:type="spellStart"/>
      <w:r w:rsidR="00962DD8">
        <w:t>calcaneum</w:t>
      </w:r>
      <w:proofErr w:type="spellEnd"/>
      <w:r w:rsidR="00AD1357">
        <w:t xml:space="preserve"> into 2 or 3 pieces with involvement of </w:t>
      </w:r>
      <w:proofErr w:type="spellStart"/>
      <w:r w:rsidR="00AD1357">
        <w:t>subtalar</w:t>
      </w:r>
      <w:proofErr w:type="spellEnd"/>
      <w:r w:rsidR="00AD1357">
        <w:t xml:space="preserve"> joint. X-ray is not a good tool for classification. A CT scan is currently the imaging study of choice for evaluating calcaneal injury.</w:t>
      </w:r>
    </w:p>
    <w:p w:rsidR="00AD1357" w:rsidRDefault="00AD1357" w:rsidP="00AD1357"/>
    <w:p w:rsidR="00AD1357" w:rsidRDefault="00AD1357" w:rsidP="00AD1357">
      <w:r>
        <w:t xml:space="preserve">Q4) </w:t>
      </w:r>
    </w:p>
    <w:p w:rsidR="00AD1357" w:rsidRDefault="008E759F" w:rsidP="008E759F">
      <w:pPr>
        <w:pStyle w:val="a3"/>
        <w:numPr>
          <w:ilvl w:val="0"/>
          <w:numId w:val="11"/>
        </w:numPr>
        <w:ind w:leftChars="0"/>
      </w:pPr>
      <w:r>
        <w:t>Multiple pustules on the medial surface of the left calf and one or two pustules on the medial surface of the right calf. Each pustule can be traced back to a hair and a hair follicle.</w:t>
      </w:r>
    </w:p>
    <w:p w:rsidR="008E759F" w:rsidRDefault="008E759F" w:rsidP="008E759F">
      <w:pPr>
        <w:pStyle w:val="a3"/>
        <w:numPr>
          <w:ilvl w:val="0"/>
          <w:numId w:val="11"/>
        </w:numPr>
        <w:ind w:leftChars="0"/>
      </w:pPr>
      <w:r>
        <w:t>Acute folliculitis (no point for herpes zoster!)</w:t>
      </w:r>
    </w:p>
    <w:p w:rsidR="008E759F" w:rsidRDefault="008E759F" w:rsidP="008E759F">
      <w:pPr>
        <w:pStyle w:val="a3"/>
        <w:numPr>
          <w:ilvl w:val="0"/>
          <w:numId w:val="11"/>
        </w:numPr>
        <w:ind w:leftChars="0"/>
      </w:pPr>
      <w:r>
        <w:t xml:space="preserve">Staph </w:t>
      </w:r>
      <w:proofErr w:type="spellStart"/>
      <w:r>
        <w:t>aureus</w:t>
      </w:r>
      <w:proofErr w:type="spellEnd"/>
      <w:r w:rsidR="00BC3921">
        <w:rPr>
          <w:rFonts w:hint="eastAsia"/>
        </w:rPr>
        <w:t xml:space="preserve"> OR Pseudomonas spp.</w:t>
      </w:r>
    </w:p>
    <w:p w:rsidR="008E759F" w:rsidRDefault="008E759F" w:rsidP="008E759F">
      <w:pPr>
        <w:pStyle w:val="a3"/>
        <w:numPr>
          <w:ilvl w:val="0"/>
          <w:numId w:val="11"/>
        </w:numPr>
        <w:ind w:leftChars="0"/>
      </w:pPr>
      <w:r>
        <w:t xml:space="preserve">Systemic </w:t>
      </w:r>
      <w:proofErr w:type="spellStart"/>
      <w:r>
        <w:t>Cloxacillin</w:t>
      </w:r>
      <w:proofErr w:type="spellEnd"/>
      <w:r w:rsidR="00BC3921">
        <w:rPr>
          <w:rFonts w:hint="eastAsia"/>
        </w:rPr>
        <w:t>/</w:t>
      </w:r>
      <w:proofErr w:type="spellStart"/>
      <w:r w:rsidR="00BC3921">
        <w:rPr>
          <w:rFonts w:hint="eastAsia"/>
        </w:rPr>
        <w:t>Flucloxacillin</w:t>
      </w:r>
      <w:proofErr w:type="spellEnd"/>
      <w:r>
        <w:t xml:space="preserve"> (either oral or iv)</w:t>
      </w:r>
    </w:p>
    <w:p w:rsidR="008E759F" w:rsidRDefault="008E759F" w:rsidP="008E759F"/>
    <w:p w:rsidR="008E759F" w:rsidRDefault="008E759F" w:rsidP="008E759F">
      <w:r>
        <w:t>Q5)</w:t>
      </w:r>
    </w:p>
    <w:p w:rsidR="008E759F" w:rsidRDefault="008E759F" w:rsidP="008E759F">
      <w:pPr>
        <w:pStyle w:val="a3"/>
        <w:numPr>
          <w:ilvl w:val="0"/>
          <w:numId w:val="13"/>
        </w:numPr>
        <w:ind w:leftChars="0"/>
      </w:pPr>
      <w:r>
        <w:t xml:space="preserve">Back of the patient: </w:t>
      </w:r>
      <w:proofErr w:type="spellStart"/>
      <w:r>
        <w:t>Neurofibromata</w:t>
      </w:r>
      <w:proofErr w:type="spellEnd"/>
      <w:r>
        <w:t>; café-au-</w:t>
      </w:r>
      <w:proofErr w:type="spellStart"/>
      <w:r>
        <w:t>lait</w:t>
      </w:r>
      <w:proofErr w:type="spellEnd"/>
      <w:r>
        <w:t xml:space="preserve"> spots; surgical scar (thoracotomy) on the right</w:t>
      </w:r>
    </w:p>
    <w:p w:rsidR="008E759F" w:rsidRDefault="008E759F" w:rsidP="008E759F">
      <w:pPr>
        <w:pStyle w:val="a3"/>
        <w:numPr>
          <w:ilvl w:val="0"/>
          <w:numId w:val="13"/>
        </w:numPr>
        <w:ind w:leftChars="0"/>
      </w:pPr>
      <w:r>
        <w:t xml:space="preserve">Neurofibromatosis type I (or </w:t>
      </w:r>
      <w:r w:rsidRPr="008E759F">
        <w:t>von Recklinghausen disease</w:t>
      </w:r>
      <w:r w:rsidR="008D3A9D">
        <w:t>)</w:t>
      </w:r>
    </w:p>
    <w:p w:rsidR="008D3A9D" w:rsidRDefault="008D3A9D" w:rsidP="008E759F">
      <w:pPr>
        <w:pStyle w:val="a3"/>
        <w:numPr>
          <w:ilvl w:val="0"/>
          <w:numId w:val="13"/>
        </w:numPr>
        <w:ind w:leftChars="0"/>
      </w:pPr>
      <w:r>
        <w:lastRenderedPageBreak/>
        <w:t xml:space="preserve">Thoracic scoliosis (convex to </w:t>
      </w:r>
      <w:proofErr w:type="spellStart"/>
      <w:r>
        <w:t>Rt</w:t>
      </w:r>
      <w:proofErr w:type="spellEnd"/>
      <w:r>
        <w:t xml:space="preserve">); lateral </w:t>
      </w:r>
      <w:proofErr w:type="spellStart"/>
      <w:r>
        <w:t>meningocele</w:t>
      </w:r>
      <w:proofErr w:type="spellEnd"/>
      <w:r>
        <w:t xml:space="preserve"> </w:t>
      </w:r>
      <w:proofErr w:type="spellStart"/>
      <w:r>
        <w:t>Rt</w:t>
      </w:r>
      <w:proofErr w:type="spellEnd"/>
      <w:r>
        <w:t xml:space="preserve"> </w:t>
      </w:r>
      <w:proofErr w:type="spellStart"/>
      <w:r>
        <w:t>hilar</w:t>
      </w:r>
      <w:proofErr w:type="spellEnd"/>
      <w:r>
        <w:t xml:space="preserve"> region</w:t>
      </w:r>
    </w:p>
    <w:p w:rsidR="00215F77" w:rsidRDefault="00215F77" w:rsidP="008E759F">
      <w:pPr>
        <w:pStyle w:val="a3"/>
        <w:numPr>
          <w:ilvl w:val="0"/>
          <w:numId w:val="13"/>
        </w:numPr>
        <w:ind w:leftChars="0"/>
      </w:pPr>
      <w:r>
        <w:t>50%</w:t>
      </w:r>
      <w:r w:rsidR="00BC3921">
        <w:rPr>
          <w:rFonts w:hint="eastAsia"/>
        </w:rPr>
        <w:t xml:space="preserve"> chance of being normal</w:t>
      </w:r>
      <w:r>
        <w:t xml:space="preserve">. NF-I is autosomal dominant, </w:t>
      </w:r>
      <w:r w:rsidRPr="00215F77">
        <w:t>the chance of receiving and expressing a particular gene is 50% regardless of the sex of parent or child</w:t>
      </w:r>
      <w:r>
        <w:t>.</w:t>
      </w:r>
    </w:p>
    <w:sectPr w:rsidR="00215F77" w:rsidSect="001D3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FA"/>
    <w:multiLevelType w:val="hybridMultilevel"/>
    <w:tmpl w:val="6FFA5CF6"/>
    <w:lvl w:ilvl="0" w:tplc="D33E70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8545F4"/>
    <w:multiLevelType w:val="hybridMultilevel"/>
    <w:tmpl w:val="B9604C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6045F5"/>
    <w:multiLevelType w:val="hybridMultilevel"/>
    <w:tmpl w:val="5A2A76A0"/>
    <w:lvl w:ilvl="0" w:tplc="B5725A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100B78"/>
    <w:multiLevelType w:val="hybridMultilevel"/>
    <w:tmpl w:val="D924E8A0"/>
    <w:lvl w:ilvl="0" w:tplc="E75EB3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157F9C"/>
    <w:multiLevelType w:val="hybridMultilevel"/>
    <w:tmpl w:val="456E04D2"/>
    <w:lvl w:ilvl="0" w:tplc="D00014D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676DB6"/>
    <w:multiLevelType w:val="hybridMultilevel"/>
    <w:tmpl w:val="EA7E8AB0"/>
    <w:lvl w:ilvl="0" w:tplc="8654D4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5B142E"/>
    <w:multiLevelType w:val="hybridMultilevel"/>
    <w:tmpl w:val="E5FC8CF8"/>
    <w:lvl w:ilvl="0" w:tplc="F27286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447396"/>
    <w:multiLevelType w:val="hybridMultilevel"/>
    <w:tmpl w:val="0568B6DC"/>
    <w:lvl w:ilvl="0" w:tplc="314462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4F6A5C"/>
    <w:multiLevelType w:val="hybridMultilevel"/>
    <w:tmpl w:val="0C0C81CE"/>
    <w:lvl w:ilvl="0" w:tplc="E75EB3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FB529C"/>
    <w:multiLevelType w:val="hybridMultilevel"/>
    <w:tmpl w:val="6812D138"/>
    <w:lvl w:ilvl="0" w:tplc="DEF873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E1453F"/>
    <w:multiLevelType w:val="hybridMultilevel"/>
    <w:tmpl w:val="9FDC4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413D25"/>
    <w:multiLevelType w:val="hybridMultilevel"/>
    <w:tmpl w:val="A6D0E4F0"/>
    <w:lvl w:ilvl="0" w:tplc="7ADE12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4210DD"/>
    <w:multiLevelType w:val="hybridMultilevel"/>
    <w:tmpl w:val="A4D625C6"/>
    <w:lvl w:ilvl="0" w:tplc="963E3C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F1"/>
    <w:rsid w:val="000B2BA4"/>
    <w:rsid w:val="00143C72"/>
    <w:rsid w:val="001D3F92"/>
    <w:rsid w:val="00215F77"/>
    <w:rsid w:val="00272AF1"/>
    <w:rsid w:val="003270BC"/>
    <w:rsid w:val="006B7EA8"/>
    <w:rsid w:val="00836401"/>
    <w:rsid w:val="008D3A9D"/>
    <w:rsid w:val="008E759F"/>
    <w:rsid w:val="00957D60"/>
    <w:rsid w:val="00962DD8"/>
    <w:rsid w:val="00AD1357"/>
    <w:rsid w:val="00AE5112"/>
    <w:rsid w:val="00BC3921"/>
    <w:rsid w:val="00E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F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2AF1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272AF1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F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2AF1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272AF1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Chun Hing Ludwig TSOI Dr, TKOH SMO(A&amp;E)</cp:lastModifiedBy>
  <cp:revision>2</cp:revision>
  <dcterms:created xsi:type="dcterms:W3CDTF">2014-01-03T09:08:00Z</dcterms:created>
  <dcterms:modified xsi:type="dcterms:W3CDTF">2014-01-03T09:08:00Z</dcterms:modified>
</cp:coreProperties>
</file>