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75" w:rsidRDefault="00475F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</w:rPr>
        <w:t>MCQ</w:t>
      </w:r>
      <w:bookmarkStart w:id="0" w:name="_GoBack"/>
      <w:bookmarkEnd w:id="0"/>
    </w:p>
    <w:p w:rsidR="00760E75" w:rsidRDefault="00475FFB">
      <w:pPr>
        <w:pStyle w:val="Default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  <w:lang w:val="en-US"/>
        </w:rPr>
        <w:t xml:space="preserve">man sustained deep laceration </w:t>
      </w:r>
      <w:r>
        <w:rPr>
          <w:sz w:val="24"/>
          <w:szCs w:val="24"/>
        </w:rPr>
        <w:t>at</w:t>
      </w:r>
      <w:r>
        <w:rPr>
          <w:sz w:val="24"/>
          <w:szCs w:val="24"/>
          <w:lang w:val="en-US"/>
        </w:rPr>
        <w:t xml:space="preserve"> right thigh by electric</w:t>
      </w:r>
      <w:r>
        <w:rPr>
          <w:sz w:val="24"/>
          <w:szCs w:val="24"/>
          <w:lang w:val="en-US"/>
        </w:rPr>
        <w:t xml:space="preserve"> saw resulting in massive bleeding. Primary survey </w:t>
      </w:r>
      <w:r>
        <w:rPr>
          <w:sz w:val="24"/>
          <w:szCs w:val="24"/>
          <w:lang w:val="en-US"/>
        </w:rPr>
        <w:t>in the scene showed active arterial spurting. He was anxious, diaphoretic with poor cap</w:t>
      </w:r>
      <w:r w:rsidR="006335E0">
        <w:rPr>
          <w:sz w:val="24"/>
          <w:szCs w:val="24"/>
          <w:lang w:val="en-US"/>
        </w:rPr>
        <w:t>illary refill</w:t>
      </w:r>
      <w:r>
        <w:rPr>
          <w:sz w:val="24"/>
          <w:szCs w:val="24"/>
          <w:lang w:val="en-US"/>
        </w:rPr>
        <w:t>. An improvised tourniquet was given with partial bleeding control. Which of the following statement is incorrect?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load-and-go situation was identif</w:t>
      </w:r>
      <w:r>
        <w:rPr>
          <w:sz w:val="24"/>
          <w:szCs w:val="24"/>
          <w:lang w:val="en-US"/>
        </w:rPr>
        <w:t>ied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Replace the improvised tourniquet immediately with CAT (Combat Application Tourniquet) as CAT is more effective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Apply another tourniquet immediately proximal to the first one and reassess bleeding control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Pack the deep laceration wound with hemostatic </w:t>
      </w:r>
      <w:r>
        <w:rPr>
          <w:sz w:val="24"/>
          <w:szCs w:val="24"/>
          <w:lang w:val="en-US"/>
        </w:rPr>
        <w:t xml:space="preserve">dressing as an </w:t>
      </w:r>
      <w:proofErr w:type="spellStart"/>
      <w:r>
        <w:rPr>
          <w:sz w:val="24"/>
          <w:szCs w:val="24"/>
        </w:rPr>
        <w:t>adjunct</w:t>
      </w:r>
      <w:proofErr w:type="spellEnd"/>
      <w:r>
        <w:rPr>
          <w:sz w:val="24"/>
          <w:szCs w:val="24"/>
          <w:lang w:val="en-US"/>
        </w:rPr>
        <w:t xml:space="preserve"> to the tourniquet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Hemostatic resuscitative approach should be adopted for this patient</w:t>
      </w:r>
    </w:p>
    <w:p w:rsidR="00760E75" w:rsidRDefault="00760E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:rsidR="00760E75" w:rsidRDefault="00475F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Answer: B</w:t>
      </w:r>
    </w:p>
    <w:p w:rsidR="00760E75" w:rsidRDefault="00760E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:rsidR="00760E75" w:rsidRDefault="00760E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:rsidR="00760E75" w:rsidRDefault="00475FFB">
      <w:pPr>
        <w:pStyle w:val="Default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one of the following</w:t>
      </w:r>
      <w:r w:rsidR="00974258">
        <w:rPr>
          <w:sz w:val="24"/>
          <w:szCs w:val="24"/>
          <w:lang w:val="en-US"/>
        </w:rPr>
        <w:t>s is</w:t>
      </w:r>
      <w:r>
        <w:rPr>
          <w:sz w:val="24"/>
          <w:szCs w:val="24"/>
          <w:lang w:val="en-US"/>
        </w:rPr>
        <w:t xml:space="preserve"> not</w:t>
      </w:r>
      <w:r w:rsidR="00974258">
        <w:rPr>
          <w:sz w:val="24"/>
          <w:szCs w:val="24"/>
          <w:lang w:val="en-US"/>
        </w:rPr>
        <w:t xml:space="preserve"> an</w:t>
      </w:r>
      <w:r>
        <w:rPr>
          <w:sz w:val="24"/>
          <w:szCs w:val="24"/>
          <w:lang w:val="en-US"/>
        </w:rPr>
        <w:t xml:space="preserve"> important consideration in DCR?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 effort must be given to prevent and identify the lethal tria</w:t>
      </w:r>
      <w:r>
        <w:rPr>
          <w:sz w:val="24"/>
          <w:szCs w:val="24"/>
          <w:lang w:val="en-US"/>
        </w:rPr>
        <w:t xml:space="preserve">d of acidosis, hypothermia and </w:t>
      </w:r>
      <w:proofErr w:type="spellStart"/>
      <w:r>
        <w:rPr>
          <w:sz w:val="24"/>
          <w:szCs w:val="24"/>
          <w:lang w:val="en-US"/>
        </w:rPr>
        <w:t>coagulopathy</w:t>
      </w:r>
      <w:proofErr w:type="spellEnd"/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presence of active bleeding, the principle of permissive hypotension should be followed during transfusion of blood components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is a role for prehospital blood-based resuscitation especially if the pr</w:t>
      </w:r>
      <w:r>
        <w:rPr>
          <w:sz w:val="24"/>
          <w:szCs w:val="24"/>
          <w:lang w:val="en-US"/>
        </w:rPr>
        <w:t>ehospital transport time is long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proofErr w:type="spellStart"/>
      <w:r>
        <w:rPr>
          <w:sz w:val="24"/>
          <w:szCs w:val="24"/>
          <w:lang w:val="en-US"/>
        </w:rPr>
        <w:t>ranexamic</w:t>
      </w:r>
      <w:proofErr w:type="spellEnd"/>
      <w:r>
        <w:rPr>
          <w:sz w:val="24"/>
          <w:szCs w:val="24"/>
          <w:lang w:val="en-US"/>
        </w:rPr>
        <w:t xml:space="preserve"> acid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(TXA) may be given empirically in prehospital setting if there is a high chance of hemorrhagic shock, as early TXA administration is associated with better outcome  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Permissive hypotension is absolutely cont</w:t>
      </w:r>
      <w:r>
        <w:rPr>
          <w:sz w:val="24"/>
          <w:szCs w:val="24"/>
          <w:lang w:val="en-US"/>
        </w:rPr>
        <w:t xml:space="preserve">raindicated in the presence of hemorrhagic shock due to pelvic fracture, and co-existing </w:t>
      </w:r>
      <w:r>
        <w:rPr>
          <w:sz w:val="24"/>
          <w:szCs w:val="24"/>
        </w:rPr>
        <w:t xml:space="preserve">minor </w:t>
      </w:r>
      <w:r>
        <w:rPr>
          <w:sz w:val="24"/>
          <w:szCs w:val="24"/>
          <w:lang w:val="en-US"/>
        </w:rPr>
        <w:t>traumatic brain injury (TBI)</w:t>
      </w:r>
    </w:p>
    <w:p w:rsidR="00760E75" w:rsidRDefault="00760E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:rsidR="00760E75" w:rsidRDefault="00475F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Answer: E</w:t>
      </w:r>
    </w:p>
    <w:p w:rsidR="00760E75" w:rsidRDefault="00760E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:rsidR="00760E75" w:rsidRDefault="00760E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:rsidR="00760E75" w:rsidRDefault="00475FFB">
      <w:pPr>
        <w:pStyle w:val="Defaul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Which of the following statements concerning the use of pelvic binder </w:t>
      </w:r>
      <w:r>
        <w:rPr>
          <w:sz w:val="24"/>
          <w:szCs w:val="24"/>
          <w:u w:val="single"/>
          <w:lang w:val="en-US"/>
        </w:rPr>
        <w:t>in prehospital setting</w:t>
      </w:r>
      <w:r>
        <w:rPr>
          <w:sz w:val="24"/>
          <w:szCs w:val="24"/>
          <w:lang w:val="en-US"/>
        </w:rPr>
        <w:t xml:space="preserve"> is incorrect</w:t>
      </w:r>
      <w:r>
        <w:rPr>
          <w:sz w:val="24"/>
          <w:szCs w:val="24"/>
        </w:rPr>
        <w:t>: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is no </w:t>
      </w:r>
      <w:r>
        <w:rPr>
          <w:sz w:val="24"/>
          <w:szCs w:val="24"/>
          <w:lang w:val="en-US"/>
        </w:rPr>
        <w:t>evidence that pelvic binders are harmful when applied to patients with proximal femur or acetabular fracture</w:t>
      </w:r>
      <w:r>
        <w:rPr>
          <w:rFonts w:ascii="Times" w:hAnsi="Times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Application of pelvic binder and extrication device (such as scoop stretcher) should be coordinated to </w:t>
      </w:r>
      <w:proofErr w:type="spellStart"/>
      <w:r>
        <w:rPr>
          <w:sz w:val="24"/>
          <w:szCs w:val="24"/>
          <w:lang w:val="en-US"/>
        </w:rPr>
        <w:t>minimise</w:t>
      </w:r>
      <w:proofErr w:type="spellEnd"/>
      <w:r>
        <w:rPr>
          <w:sz w:val="24"/>
          <w:szCs w:val="24"/>
          <w:lang w:val="en-US"/>
        </w:rPr>
        <w:t xml:space="preserve"> patient movement 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</w:t>
      </w:r>
      <w:r>
        <w:rPr>
          <w:sz w:val="24"/>
          <w:szCs w:val="24"/>
          <w:lang w:val="en-US"/>
        </w:rPr>
        <w:t>contraindicated if the mechanism of injury (MOI) to pelvis according to bystander is suggestive of lateral compression injury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Pelvic binder is a treatment invention rather than a packaging device and so application of pelvic binder should be early</w:t>
      </w:r>
    </w:p>
    <w:p w:rsidR="00760E75" w:rsidRDefault="00475FFB">
      <w:pPr>
        <w:pStyle w:val="Default"/>
        <w:numPr>
          <w:ilvl w:val="2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a cas</w:t>
      </w:r>
      <w:r>
        <w:rPr>
          <w:sz w:val="24"/>
          <w:szCs w:val="24"/>
          <w:lang w:val="en-US"/>
        </w:rPr>
        <w:t>e of multi-system trauma with unstable vital signs and MOI is suggestive of pelvic ring injury , a pelvic binder should be given even though the patient denies any tenderness at the pelvis</w:t>
      </w:r>
    </w:p>
    <w:p w:rsidR="00760E75" w:rsidRDefault="00760E7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sz w:val="24"/>
          <w:szCs w:val="24"/>
        </w:rPr>
      </w:pPr>
    </w:p>
    <w:p w:rsidR="00760E75" w:rsidRDefault="00475F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sz w:val="24"/>
          <w:szCs w:val="24"/>
          <w:lang w:val="en-US"/>
        </w:rPr>
        <w:t>Answer: C</w:t>
      </w:r>
    </w:p>
    <w:sectPr w:rsidR="00760E7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5FFB">
      <w:r>
        <w:separator/>
      </w:r>
    </w:p>
  </w:endnote>
  <w:endnote w:type="continuationSeparator" w:id="0">
    <w:p w:rsidR="00000000" w:rsidRDefault="0047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E75" w:rsidRDefault="00760E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5FFB">
      <w:r>
        <w:separator/>
      </w:r>
    </w:p>
  </w:footnote>
  <w:footnote w:type="continuationSeparator" w:id="0">
    <w:p w:rsidR="00000000" w:rsidRDefault="0047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E75" w:rsidRDefault="00760E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08CF"/>
    <w:multiLevelType w:val="hybridMultilevel"/>
    <w:tmpl w:val="FFFFFFFF"/>
    <w:numStyleLink w:val="Numbered"/>
  </w:abstractNum>
  <w:abstractNum w:abstractNumId="1" w15:restartNumberingAfterBreak="0">
    <w:nsid w:val="26B10411"/>
    <w:multiLevelType w:val="hybridMultilevel"/>
    <w:tmpl w:val="FFFFFFFF"/>
    <w:styleLink w:val="Numbered"/>
    <w:lvl w:ilvl="0" w:tplc="72F22AE4">
      <w:start w:val="1"/>
      <w:numFmt w:val="decimal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81104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901880">
      <w:start w:val="1"/>
      <w:numFmt w:val="upperLetter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0E9CE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CD97A">
      <w:start w:val="1"/>
      <w:numFmt w:val="decimal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2E85C">
      <w:start w:val="1"/>
      <w:numFmt w:val="decimal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A38BA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6C9EE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7EA576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75"/>
    <w:rsid w:val="00475FFB"/>
    <w:rsid w:val="006335E0"/>
    <w:rsid w:val="00760E75"/>
    <w:rsid w:val="009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C4E68"/>
  <w15:docId w15:val="{1B326F10-60C3-7447-A510-EF286DA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Wan</cp:lastModifiedBy>
  <cp:revision>2</cp:revision>
  <dcterms:created xsi:type="dcterms:W3CDTF">2020-03-05T04:27:00Z</dcterms:created>
  <dcterms:modified xsi:type="dcterms:W3CDTF">2020-03-05T04:27:00Z</dcterms:modified>
</cp:coreProperties>
</file>